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8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ФОРМА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2" w:type="dxa"/>
        <w:tblLook w:val="01E0" w:firstRow="1" w:lastRow="1" w:firstColumn="1" w:lastColumn="1" w:noHBand="0" w:noVBand="0"/>
      </w:tblPr>
      <w:tblGrid>
        <w:gridCol w:w="5211"/>
        <w:gridCol w:w="4701"/>
      </w:tblGrid>
      <w:tr w:rsidR="00FA64BB" w:rsidRPr="0025688F" w:rsidTr="00A36F9C">
        <w:tc>
          <w:tcPr>
            <w:tcW w:w="521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357" w:right="-284" w:hanging="357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УТВЕРЖДАЮ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470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64BB" w:rsidRPr="0025688F" w:rsidTr="00A36F9C">
        <w:tc>
          <w:tcPr>
            <w:tcW w:w="521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357" w:right="-284" w:hanging="357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 xml:space="preserve">____________ И.О. </w:t>
            </w:r>
            <w:r w:rsidRPr="002568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357" w:right="-284" w:hanging="357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 xml:space="preserve">«_____» _________ 20___ </w:t>
            </w:r>
            <w:r w:rsidRPr="002568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25688F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0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 xml:space="preserve">____________ И.О. </w:t>
            </w:r>
            <w:r w:rsidRPr="002568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Фамилия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«_____» _________ 20___ г.</w:t>
            </w:r>
          </w:p>
        </w:tc>
      </w:tr>
    </w:tbl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  <w:tab w:val="right" w:leader="do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</w:t>
      </w:r>
      <w:bookmarkStart w:id="0" w:name="_GoBack"/>
      <w:bookmarkEnd w:id="0"/>
      <w:r w:rsidRPr="00256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</w:t>
      </w: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обследования технического состояния зданий/сооружений</w:t>
      </w: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Разработал</w:t>
      </w: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(</w:t>
      </w:r>
      <w:r w:rsidRPr="002568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И.О. Фамилия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«____»__________20___г.</w:t>
      </w: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9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25688F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__________________________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25688F">
        <w:rPr>
          <w:rFonts w:ascii="Times New Roman" w:eastAsia="Arial Unicode MS" w:hAnsi="Times New Roman" w:cs="Times New Roman"/>
          <w:bCs/>
          <w:i/>
          <w:sz w:val="24"/>
          <w:szCs w:val="24"/>
          <w:lang w:eastAsia="ar-SA"/>
        </w:rPr>
        <w:t>Наименование ОСТ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20____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 Вводная часть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Настоящая программа работ по обследованию технического состояния зданий и сооружений (далее З/С) определяет: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вид  обследования (визуальное или детальное);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виды и объемы услуг, оказываемых </w:t>
      </w:r>
      <w:r w:rsidRPr="002568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Исполнителем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Обследование технического состояния </w:t>
      </w:r>
      <w:r w:rsidRPr="00256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З/С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выполняется на основании: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Договора от ____________№____________;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технического задания на проведение обследования технического состояния З/С.</w:t>
      </w:r>
    </w:p>
    <w:p w:rsidR="00FA64BB" w:rsidRPr="0025688F" w:rsidRDefault="00FA64BB" w:rsidP="00FA64BB">
      <w:pPr>
        <w:keepNext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Заказчик:______________________________________;</w:t>
      </w:r>
    </w:p>
    <w:p w:rsidR="00FA64BB" w:rsidRPr="0025688F" w:rsidRDefault="00FA64BB" w:rsidP="00FA64BB">
      <w:pPr>
        <w:keepNext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Исполнитель: </w:t>
      </w:r>
      <w:r w:rsidRPr="002568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Подготовительные работы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 Заказчик при проведении подготовительных работ предоставляет</w:t>
      </w: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следующую  документацию: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 о назначении лиц, ответственных за безопасную эксплуатацию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паспорта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паспорта БТИ на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журналы эксплуатации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визуального технического обследования по форме диагностических карт осмотров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периодических (внеочередных) технических осмотров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геодезического мониторинга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проектную документацию на ЗиС (в т. ч. по проведенным ремонтам, реконструкциям и т.д.);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исполнительную документацию на ЗиС (в т. ч. акты на скрытые работы);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территории объекта с указанием опорных точек и их абсолютных отметок;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осмотра опорных знаков  на объекте;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отчёты (заключения) по результатам предыдущих ТО, ЭПБ, энергетическому обследованию, вибрационного контроля и т. д.;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расследований ЧС (аварий, инцидентов, пожаров), влияющих на условия эксплуатации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выполнение предписаний органов Ростехнадзора и других надзорных органов РФ;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инженерно-геологических изысканий, отчёты по инженерно-геологическим условиям территории, на которой расположено ЗиС (при наличии);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характеризующие фактические технологические нагрузки и воздействия, их изменения в процессе эксплуатации.</w:t>
      </w:r>
    </w:p>
    <w:p w:rsidR="00FA64BB" w:rsidRPr="0025688F" w:rsidRDefault="00FA64BB" w:rsidP="00FA64BB">
      <w:pPr>
        <w:keepNext/>
        <w:tabs>
          <w:tab w:val="left" w:pos="1134"/>
          <w:tab w:val="left" w:pos="1276"/>
          <w:tab w:val="num" w:pos="2187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Исполнитель при проведении подготовительных работ: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 ознакомление с проектной и исполнительной документацией, с документацией по эксплуатации ЗиС и с результатами предыдущих технических осмотров и обследований и устанавливает следующее: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 проектной документации;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разработки проектной документации;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ввода в эксплуатацию ЗиС;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конструктивную схему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примененных в проектной документации строительных конструкциях;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монтажные схемы сборных элементов, время их изготовления;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геометрические размеры ЗиС, элементов и конструкций;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материалов (бетона, металла, камня и т. п.) строительных конструкций;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грунтового основания (при необходимости);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отклонения от проектной документации;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сейсмичность района;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категорию огнестойкости ЗиС; 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климатический район;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дефектов и повреждений строительных конструкций ЗиС, согласно эксплуатационной документации;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доступа к строительным конструкциям для проведения технического обследования.</w:t>
      </w:r>
    </w:p>
    <w:p w:rsidR="00FA64BB" w:rsidRPr="0025688F" w:rsidRDefault="00FA64BB" w:rsidP="00FA64BB">
      <w:pPr>
        <w:keepNext/>
        <w:tabs>
          <w:tab w:val="left" w:pos="1134"/>
          <w:tab w:val="left" w:pos="1276"/>
          <w:tab w:val="num" w:pos="2187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Проведение технического обследования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3.1. При проведении технического обследования Заказчик обязан обеспечить: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во все помещения ЗиС;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конструкциям ЗиС для безопасного проведения технического обследования (использование мостового крана, технологических площадок, устройство необходимых лесов, подмостей, лестниц и приспособлений);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энергоснабжения (при необходимости);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конструкций (при необходимости). Места вскрытия указываются 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Исполнителем;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фундаменту и грунту основания (при необходимости выполняются шурфы до подошвы фундаментов);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вентиляции и дополнительного освещения подвальных помещений (при необходимости), обогрев помещений (при необходимости);</w:t>
      </w:r>
    </w:p>
    <w:p w:rsidR="00FA64BB" w:rsidRPr="0025688F" w:rsidRDefault="00FA64BB" w:rsidP="00FA64BB">
      <w:pPr>
        <w:keepNext/>
        <w:numPr>
          <w:ilvl w:val="0"/>
          <w:numId w:val="2"/>
        </w:numPr>
        <w:tabs>
          <w:tab w:val="num" w:pos="969"/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очистку снега с кровли и отмостки в зимний период (при необходимости).</w:t>
      </w:r>
    </w:p>
    <w:p w:rsidR="00FA64BB" w:rsidRPr="0025688F" w:rsidRDefault="00FA64BB" w:rsidP="00FA64BB">
      <w:pPr>
        <w:keepNext/>
        <w:tabs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Заделка мест вскрытия, восстановление отделки и облицовки осуществляется Заказчиком методами и материалами, рекомендованными в отчете по результатам обследования технического состояния ЗиС, полученным от Исполнителя.</w:t>
      </w:r>
    </w:p>
    <w:p w:rsidR="00FA64BB" w:rsidRPr="0025688F" w:rsidRDefault="00FA64BB" w:rsidP="00FA64BB">
      <w:pPr>
        <w:keepNext/>
        <w:tabs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pos="1134"/>
          <w:tab w:val="left" w:pos="1276"/>
          <w:tab w:val="num" w:pos="218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При проведении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технического обследования Исполнитель обязан: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началом технического обследования провести визуальный осмотр ЗиС, произвести оценку условий эксплуатации и доступность обследуемого ЗиС.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выполнить обследование техническому обследованию ЗиС в соответствии с техническим заданием.</w:t>
      </w:r>
    </w:p>
    <w:p w:rsidR="00FA64BB" w:rsidRPr="0025688F" w:rsidRDefault="00FA64BB" w:rsidP="00FA64BB">
      <w:pPr>
        <w:keepNext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lang w:eastAsia="ru-RU"/>
        </w:rPr>
        <w:sectPr w:rsidR="00FA64BB" w:rsidRPr="0025688F" w:rsidSect="00221F2B">
          <w:footerReference w:type="even" r:id="rId7"/>
          <w:footerReference w:type="default" r:id="rId8"/>
          <w:footerReference w:type="first" r:id="rId9"/>
          <w:pgSz w:w="11909" w:h="16834" w:code="9"/>
          <w:pgMar w:top="1134" w:right="851" w:bottom="1134" w:left="1418" w:header="567" w:footer="567" w:gutter="0"/>
          <w:cols w:space="60"/>
          <w:noEndnote/>
        </w:sectPr>
      </w:pP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Виды работ, методы и средства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технического обследования конструкций З/С</w:t>
      </w:r>
    </w:p>
    <w:p w:rsidR="00FA64BB" w:rsidRPr="0025688F" w:rsidRDefault="00FA64BB" w:rsidP="00FA64BB">
      <w:pPr>
        <w:keepNext/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Таблица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Виды работ, методы и средства измерений при проведении визуального технического обследования конструкций З/С</w:t>
      </w:r>
    </w:p>
    <w:tbl>
      <w:tblPr>
        <w:tblW w:w="13948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418"/>
        <w:gridCol w:w="1777"/>
        <w:gridCol w:w="4034"/>
        <w:gridCol w:w="4961"/>
      </w:tblGrid>
      <w:tr w:rsidR="00FA64BB" w:rsidRPr="0025688F" w:rsidTr="00A36F9C">
        <w:trPr>
          <w:trHeight w:val="444"/>
          <w:tblHeader/>
        </w:trPr>
        <w:tc>
          <w:tcPr>
            <w:tcW w:w="1758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обследования</w:t>
            </w:r>
          </w:p>
        </w:tc>
        <w:tc>
          <w:tcPr>
            <w:tcW w:w="3195" w:type="dxa"/>
            <w:gridSpan w:val="2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</w:t>
            </w:r>
          </w:p>
        </w:tc>
        <w:tc>
          <w:tcPr>
            <w:tcW w:w="4961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 измерений</w:t>
            </w:r>
          </w:p>
        </w:tc>
      </w:tr>
      <w:tr w:rsidR="00FA64BB" w:rsidRPr="0025688F" w:rsidTr="00A36F9C">
        <w:trPr>
          <w:tblHeader/>
        </w:trPr>
        <w:tc>
          <w:tcPr>
            <w:tcW w:w="1758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5" w:type="dxa"/>
            <w:gridSpan w:val="2"/>
            <w:tcBorders>
              <w:bottom w:val="double" w:sz="4" w:space="0" w:color="auto"/>
            </w:tcBorders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4" w:type="dxa"/>
            <w:tcBorders>
              <w:bottom w:val="double" w:sz="4" w:space="0" w:color="auto"/>
            </w:tcBorders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A64BB" w:rsidRPr="0025688F" w:rsidTr="00A36F9C">
        <w:tc>
          <w:tcPr>
            <w:tcW w:w="1758" w:type="dxa"/>
            <w:vMerge w:val="restart"/>
            <w:tcBorders>
              <w:top w:val="double" w:sz="4" w:space="0" w:color="auto"/>
            </w:tcBorders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Визуальное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технического состояния по внешним признакам и измеренным линейным, угловым параметрам</w:t>
            </w:r>
          </w:p>
        </w:tc>
        <w:tc>
          <w:tcPr>
            <w:tcW w:w="4034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визуального и измерительного контроля с учетом ГОСТ 26433.0,</w:t>
            </w:r>
            <w:r w:rsidRPr="0025688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ГОСТ 26433.1,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26433.2, ГОСТ 21779, РД 03-606-03</w:t>
            </w:r>
          </w:p>
        </w:tc>
        <w:tc>
          <w:tcPr>
            <w:tcW w:w="4961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Визуально, с применением измерительных приборов и инструментов</w:t>
            </w:r>
          </w:p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Геометрические размеры конструкций</w:t>
            </w:r>
          </w:p>
        </w:tc>
        <w:tc>
          <w:tcPr>
            <w:tcW w:w="4034" w:type="dxa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Измерительный, геодезический методы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Геодезические приборы,теодолит Т-1 ГОСТ 10529, тахеометр, нивелир Н-05 ГОСТ 10528, рулетка металлическая с ценой деления 1 мм  ГОСТ 7502, л</w:t>
            </w:r>
            <w:r w:rsidRPr="0025688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азерный дальномер</w:t>
            </w:r>
          </w:p>
        </w:tc>
      </w:tr>
      <w:tr w:rsidR="00FA64BB" w:rsidRPr="0025688F" w:rsidTr="00A36F9C"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Для осмотра высотных конструкций</w:t>
            </w:r>
          </w:p>
        </w:tc>
        <w:tc>
          <w:tcPr>
            <w:tcW w:w="4034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612"/>
              </w:tabs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612"/>
              </w:tabs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Бинокль БКОЦ 8х32ГОСТ 7048</w:t>
            </w:r>
          </w:p>
        </w:tc>
      </w:tr>
      <w:tr w:rsidR="00FA64BB" w:rsidRPr="0025688F" w:rsidTr="00A36F9C"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Герметичность кровель</w:t>
            </w:r>
          </w:p>
        </w:tc>
        <w:tc>
          <w:tcPr>
            <w:tcW w:w="4034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612"/>
              </w:tabs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64BB" w:rsidRPr="0025688F" w:rsidTr="00A36F9C"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Уклон поверхностей элементов ЗиС</w:t>
            </w:r>
          </w:p>
        </w:tc>
        <w:tc>
          <w:tcPr>
            <w:tcW w:w="4034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строительный с ценой деления 15 мин </w:t>
            </w:r>
          </w:p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9416</w:t>
            </w:r>
          </w:p>
        </w:tc>
      </w:tr>
      <w:tr w:rsidR="00FA64BB" w:rsidRPr="0025688F" w:rsidTr="00A36F9C">
        <w:trPr>
          <w:trHeight w:val="458"/>
        </w:trPr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64"/>
              </w:tabs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Геометрические параметры дефектов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ШЦ-1-125-0,1 ГОСТ 166,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линейка ГОСТ 427,рулетка металлическая с ценой деления 1 мм ГОСТ 7502,щупы № 1-4</w:t>
            </w:r>
          </w:p>
        </w:tc>
      </w:tr>
      <w:tr w:rsidR="00FA64BB" w:rsidRPr="0025688F" w:rsidTr="00A36F9C">
        <w:tc>
          <w:tcPr>
            <w:tcW w:w="1758" w:type="dxa"/>
            <w:vMerge w:val="restar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Визуальное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(измерение характеристик материалов)</w:t>
            </w: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Прогибы конструкций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Измерительный, геодезический методы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Теодолит Т-1 ГОСТ 10529, тахеометр, нивелир Н-05 ГОСТ 10528, </w:t>
            </w:r>
            <w:r w:rsidRPr="0025688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лазерный дальномер и уровнемер</w:t>
            </w:r>
          </w:p>
        </w:tc>
      </w:tr>
      <w:tr w:rsidR="00FA64BB" w:rsidRPr="0025688F" w:rsidTr="00A36F9C">
        <w:trPr>
          <w:trHeight w:val="429"/>
        </w:trPr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раскрытия трещин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2-8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х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25706, щупы № 1-№ 4,маяки или тензодатчики</w:t>
            </w:r>
          </w:p>
        </w:tc>
      </w:tr>
      <w:tr w:rsidR="00FA64BB" w:rsidRPr="0025688F" w:rsidTr="00A36F9C">
        <w:trPr>
          <w:trHeight w:val="429"/>
        </w:trPr>
        <w:tc>
          <w:tcPr>
            <w:tcW w:w="1758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51" w:right="-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Деформации конструкций</w:t>
            </w:r>
          </w:p>
        </w:tc>
        <w:tc>
          <w:tcPr>
            <w:tcW w:w="1777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вертикали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Измерительный, геодезический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Теодолит Т-1 ГОСТ 10529, тахеометр,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квадрант КО-1, КО-1М</w:t>
            </w:r>
          </w:p>
        </w:tc>
      </w:tr>
      <w:tr w:rsidR="00FA64BB" w:rsidRPr="0025688F" w:rsidTr="00A36F9C">
        <w:trPr>
          <w:trHeight w:val="429"/>
        </w:trPr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Прогибы междуэтажных, перекрытий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нивелир Н-05 ГОСТ 10528, теодолит Т-1 ГОСТ 10529, тахеометр,</w:t>
            </w:r>
            <w:r w:rsidRPr="0025688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лазерный дальномер и уровнемер</w:t>
            </w:r>
          </w:p>
        </w:tc>
      </w:tr>
      <w:tr w:rsidR="00FA64BB" w:rsidRPr="0025688F" w:rsidTr="00A36F9C">
        <w:trPr>
          <w:trHeight w:val="234"/>
        </w:trPr>
        <w:tc>
          <w:tcPr>
            <w:tcW w:w="1758" w:type="dxa"/>
            <w:vMerge/>
          </w:tcPr>
          <w:p w:rsidR="00FA64BB" w:rsidRPr="0025688F" w:rsidRDefault="00FA64BB" w:rsidP="00FA64BB">
            <w:pPr>
              <w:keepNext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75" w:right="-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Осадка </w:t>
            </w:r>
          </w:p>
        </w:tc>
        <w:tc>
          <w:tcPr>
            <w:tcW w:w="4034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30" w:right="-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Измерительный, геодезический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Теодолит Т-1 ГОСТ 10529, тахеометр, тензометры, индикаторы</w:t>
            </w:r>
          </w:p>
        </w:tc>
      </w:tr>
    </w:tbl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5688F">
        <w:rPr>
          <w:rFonts w:ascii="Times New Roman" w:eastAsia="Times New Roman" w:hAnsi="Times New Roman" w:cs="Times New Roman"/>
          <w:lang w:eastAsia="ru-RU"/>
        </w:rPr>
        <w:t xml:space="preserve">* Исполнитель обязан выполнить объем работ, необходимый и достаточный для прохождения проектной документацией государственной экспертизы России </w:t>
      </w: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Таблица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Виды работ, методы и средства измерений при проведении детального технического обследования конструкций З/С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261"/>
        <w:gridCol w:w="3969"/>
        <w:gridCol w:w="4961"/>
      </w:tblGrid>
      <w:tr w:rsidR="00FA64BB" w:rsidRPr="0025688F" w:rsidTr="00A36F9C">
        <w:trPr>
          <w:tblHeader/>
        </w:trPr>
        <w:tc>
          <w:tcPr>
            <w:tcW w:w="1843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Вид обследования</w:t>
            </w:r>
          </w:p>
        </w:tc>
        <w:tc>
          <w:tcPr>
            <w:tcW w:w="3261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3969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</w:t>
            </w:r>
          </w:p>
        </w:tc>
        <w:tc>
          <w:tcPr>
            <w:tcW w:w="4961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 измерений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vAlign w:val="center"/>
          </w:tcPr>
          <w:p w:rsidR="00FA64BB" w:rsidRPr="0025688F" w:rsidRDefault="00FA64BB" w:rsidP="00FA64BB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 w:val="restart"/>
            <w:textDirection w:val="btLr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Детальное (инструментальное)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  <w:vAlign w:val="center"/>
          </w:tcPr>
          <w:p w:rsidR="00FA64BB" w:rsidRPr="0025688F" w:rsidRDefault="00FA64BB" w:rsidP="00FA64BB">
            <w:pPr>
              <w:keepNext/>
              <w:tabs>
                <w:tab w:val="left" w:pos="79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Бетонные и железобетонные конструкции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 железобетонных конструкций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Неразрушающие методы контроля в соответствии с требованиями ГОСТ 17624, МДС 62-2.01 [8] 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Ультразвуковые приборы типа УКБ-1М, УК-10ПМ, Пульсар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 железобетонных конструкций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 по ГОСТ 22690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ОНИКС-2.4, молотки Кашкарова, Шмидта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образцам, отобранным из конструкций после ЧС, приведших к аварийному состоянию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здания/сооружения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 ГОСТ 28570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Плотность, влажность водопоглощение, пористость, водонепроницаемость бетона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Методы по ГОСТ 12730.0, 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12730.1, ГОСТ 12730.2, ГОСТ 12730.3, ГОСТ 12730.4, ГОСТ 12730.5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Морозостойкость бетона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.0, ГОСТ 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.1, ГОСТ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.2, ГОСТ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.3, ГОСТ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</w:t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.4 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и структура бетона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химического, физико-химического и микроскопического анализа по ГОСТ 12730.0, ГОСТ 5382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нагрева бетона при пожаре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дифференциально-термического анализа, или по изменению пористости цементного камня по ГОСТ 12730.0 и ГОСТ 12730.4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арматуры, положение арматуры, толщина защитного слоя бетона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Магнитный метод по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22904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Электромагнитные приборы типа ИТП-1, ИСМ, ИЗС-2, МИП-10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Измерительный(контрольное вскрытие с обнажением арматуры (при необходимости)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Размеры повреждений арматуры и закладных деталей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(вскрытие с обнажением арматуры)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</w:t>
            </w:r>
          </w:p>
        </w:tc>
      </w:tr>
      <w:tr w:rsidR="00FA64BB" w:rsidRPr="0025688F" w:rsidTr="00A36F9C">
        <w:trPr>
          <w:trHeight w:val="628"/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Радиационный по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20426, ГОСТ 17625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Гамма-дефектоскоп типа «Гаммарид-192/120»,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Philips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 арматуры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данным испытаний контрольного образца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 сварных соединений арматуры и закладных деталей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Визуальный, после вскрытия арматуры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ЛИ-1-4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х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25706, 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 или шаблон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Стальные конструкции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Прочностные характеристики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Неразрушающие методы контроля на основе твердометрии по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22761, ГОСТ 23273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Твердомер типа ТЭМП-3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образцов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Степень коррозионного повреждения стальных конструкций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Толщиномер типа Булат-1М ГОСТ 28702,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Индикаторы часового типа ИЧ 02 ГОСТ 577, 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166, скобы с индикаторными головками ГОСТ 15593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лакокрасочных покрытий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Магнитный метод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Толщиномер типа ИТП-1, магнитный измеритель толщины покрытий типа МИП-10, МТ 2007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болтов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простукивания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Молоток массой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0,2 до 0,5 кг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прилегания головок болтов к пакету и зазоры между листами в пакете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щупов № 1- № 4 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Усилие затяжки высокопрочных болтов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Динамометрический ключ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Катеты сварных швов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ШЦ-1-125-0,1 ГОСТ 166 или шаблон 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Дефекты и повреждения сварных швов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 осмотр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ЛИ-1-4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х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25706, штангенциркуль ШЦ-1-125-0,1 ГОСТ 166 или шаблон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раскрытия и протяженности трещин, выходящих на поверхность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Неразрушающий метод контроля ГОСТ 18442 (контроль проникающими веществами) 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дефектоскопических материалов (пенетранты)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Отбор проб, заготовок и образцов для испытаний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7564 и ГОСТ 7565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Испытание образцов, отобранных из конструкций, на растяжение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в соответствии с ГОСТ 1497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Механические свойства сварных соединений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Испытания по ГОСТ 6996,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СНиП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-23-81*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Химический анализ стали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фотоэлектрического спектрального анализа по ГОСТ 18895, метод спектрографического анализа по ГОСТ 27809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Каменные конструкции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 кирпича и камней керамических и силикатных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Неразрушающий метод контроля - ультразвуковой по ГОСТ 24332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Ультразвуковые приборы типа «Бетон 12», УК-14П, УК-10ПМС, УФ-10П, Р5-5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Разрушающий метод в соответствии с ГОСТ 8462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Механический метод по ГОСТ 22690 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Приборы типа ПС-1</w:t>
            </w:r>
          </w:p>
        </w:tc>
      </w:tr>
      <w:tr w:rsidR="00FA64BB" w:rsidRPr="0025688F" w:rsidTr="00A36F9C">
        <w:trPr>
          <w:trHeight w:val="835"/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Плотность, морозостойкость кирпича и камней керамических и силикатных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образцов и проб по ГОСТ 7025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rHeight w:val="1272"/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Влажность, объемная масса, морозостойкость, усадка при высыхании, коэффициент паропроницаемости и сорбционной влажности блоков из ячеистого бетона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Испытание образцов в соответствии с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12852.0, ГОСТ 12852.5, ГОСТ 12852.6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Прочность сцепления раствора с кирпичом или камнем в кладке стен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в соответствии с ГОСТ 24992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Прочность раствора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в соответствии с ГОСТ 5802, СП 82-101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Деревянные конструкции</w:t>
            </w:r>
          </w:p>
        </w:tc>
      </w:tr>
      <w:tr w:rsidR="00FA64BB" w:rsidRPr="0025688F" w:rsidTr="00A36F9C">
        <w:trPr>
          <w:trHeight w:val="349"/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Порода древесины и ее сорт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 по ГОСТ 2140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Влажность древесины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16483.7, ГОСТ 16588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влагомер древесины типа ЭВД-2,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HYDRO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CONDTROL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Отбор образцов для определения физико-механических свойств древесины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16483.0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Прочность древесины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Испытания в соответствии с требованиями ГОСТ 16483.10, 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16483.11,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16483.3,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16483.9,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16483.2,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16483.5, 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16483.12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rHeight w:val="373"/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древесины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в соответствии с ГОСТ 16483.1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rHeight w:val="562"/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Глубина проникания антисептика в элементы деревянных конструкций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Отбор проб по ГОСТ 16483.0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Поражение древесины гнилью, жучком, грибком, появление трещин и расслоение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Визуальный, по характерному запаху, отстукиванием, снятием стружки, высверливанием внутренних слоев 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16483.0,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2140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ЛИ-1-4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х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25706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166, линейка ГОСТ 427 и рулетка металлическая с ценой деления 1 мм ГОСТ 7502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Наружные стены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герметика стыков: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толщина герметика;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адгезия герметика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Индикатор часового типа ИЧ 02 ГОСТ 577,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адгезиметр АГ-2 ГОСТ26589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 стен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Визуальный, по внешним признакам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 утеплителя крыш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Визуально, по внешним признакам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 воздуха в помещении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Психрометр Ассмана, гигрограф М-32, волосяной гигрограф, пленочный гигрометр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воздуха 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Термометр ГОСТ 112, термограф М-16 ГОСТ 6416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Основания и фундаменты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шурфов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tabs>
                <w:tab w:val="left" w:pos="7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Отбор проб грунта по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12071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tabs>
                <w:tab w:val="left" w:pos="7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Прочность бетона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Неразрушающие методы контроля в соответствии с требованиями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22690, ГОСТ 17624, МДС 62-2.01 [8]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Ультразвуковые приборы типа УКБ-1М, УК-10ПМ, Пульсар, 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Ударно-импульсный метод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образцам, отобранным из конструкций по ГОСТ 28570</w:t>
            </w: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shd w:val="clear" w:color="auto" w:fill="FFFFFF"/>
              <w:tabs>
                <w:tab w:val="left" w:pos="12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Плотность, влажность водопоглощение, пористость, водонепроницаемость бетона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по ГОСТ 12730.0, ГОСТ 12730.1, ГОСТ 12730.2, ГОСТ 12730.3, ГОСТ 12730.4, ГОСТ 12730.5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лабораторных условиях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shd w:val="clear" w:color="auto" w:fill="FFFFFF"/>
              <w:tabs>
                <w:tab w:val="left" w:pos="12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арматуры, положение арматуры, толщина защитного слоя бетона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Магнитный метод по 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22904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Электромагнитные приборы типа ИТП-1, ИСМ, ИЗС-2, МИП-10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shd w:val="clear" w:color="auto" w:fill="FFFFFF"/>
              <w:tabs>
                <w:tab w:val="left" w:pos="12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Измерительный, при контрольном вскрытии с обнажением арматуры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(при необходимости)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Штангенциркуль 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ШЦ-1-125-0,1 ГОСТ 166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планово-высотного положения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Геодезические методы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Нивелир Н-05 ГОСТ 10528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Деформация основания: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вертикальные перемещения 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ГОСТ 24846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Нивелир Н-05 ГОСТ 10528, тахеометр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горизонтальные перемещения (сдвиги)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Тахеометр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крены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Тахеометр</w:t>
            </w: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4BB" w:rsidRPr="0025688F" w:rsidRDefault="00FA64BB" w:rsidP="00FA64BB">
            <w:pPr>
              <w:keepNext/>
              <w:shd w:val="clear" w:color="auto" w:fill="FFFFFF"/>
              <w:tabs>
                <w:tab w:val="left" w:pos="12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3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Сооружения башенного и мачтового типа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прочности конструкции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2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типом конструкции, см. выше</w:t>
            </w:r>
          </w:p>
        </w:tc>
      </w:tr>
      <w:tr w:rsidR="00FA64BB" w:rsidRPr="0025688F" w:rsidTr="00A36F9C">
        <w:trPr>
          <w:tblHeader/>
        </w:trPr>
        <w:tc>
          <w:tcPr>
            <w:tcW w:w="1843" w:type="dxa"/>
            <w:vMerge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отклонений от вертикали</w:t>
            </w:r>
          </w:p>
        </w:tc>
        <w:tc>
          <w:tcPr>
            <w:tcW w:w="3969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Геодезические методы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Тахеометр</w:t>
            </w:r>
          </w:p>
        </w:tc>
      </w:tr>
    </w:tbl>
    <w:p w:rsidR="00FA64BB" w:rsidRPr="0025688F" w:rsidRDefault="00FA64BB" w:rsidP="00FA64BB">
      <w:pPr>
        <w:keepNext/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5688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FA64BB" w:rsidRPr="0025688F" w:rsidSect="00221F2B">
          <w:headerReference w:type="default" r:id="rId10"/>
          <w:footerReference w:type="default" r:id="rId11"/>
          <w:pgSz w:w="16834" w:h="11909" w:orient="landscape" w:code="9"/>
          <w:pgMar w:top="1418" w:right="1134" w:bottom="851" w:left="1134" w:header="567" w:footer="567" w:gutter="0"/>
          <w:cols w:space="60"/>
          <w:noEndnote/>
          <w:docGrid w:linePitch="326"/>
        </w:sectPr>
      </w:pPr>
      <w:r w:rsidRPr="0025688F">
        <w:rPr>
          <w:rFonts w:ascii="Times New Roman" w:eastAsia="Times New Roman" w:hAnsi="Times New Roman" w:cs="Times New Roman"/>
          <w:lang w:eastAsia="ru-RU"/>
        </w:rPr>
        <w:t>* Исполнитель обязан выполнить объем работ, необходимый и достаточный для прохождения проектной документацией государственной экспертизы России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Оформление отчета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проведенного обследования технического состояния З/С 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Исполнитель</w:t>
      </w: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оформляет отчет в  соответствии с техническим заданием. 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Безопасность при оказании услуг по обследованию технического состояния 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Для выполнения обследования Исполнитель обязан представить приказ, в котором указывается ответственный за безопасное производство работ, из числа обученных и аттестованных специалистов Исполнителя; список лиц, участвующих в производстве работ; квалификационные удостоверения персонала Исполнителя; паспорта и сертификаты соответствия применяемого оборудования.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6.2. Работники, проводящие техническое обследование, должны использовать необходимые защитные приспособления и спецодежду: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защитные каски;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предохранительные пояса с указанием места закрепления карабина и страховочных канатов по ГОСТ 12.4.107 (при необходимости);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спецодежду, которая не должна иметь болтающихся и свисающих частей во избежание зацепления с движущимися частями механизмов и токопроводящими элементами;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аппараты и приспособления для защиты глаз и дыхательных путей.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6.3. Проведение огневых, газоопасных и других работ повышенной опасности на взрывопожароопасных и пожароопасных объектах ОСТ разрешается только после оформления наряда-допуска.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6.4. Исполнение электрических контрольно-измерительных и автоматических приборов, используемых во взрывоопасных зонах, должно соответствовать классификации помещений по взрывопожарной и пожарной опасности. Запрещается применение ручного электрического невзрывозащищенного инструмента для сверления отверстий.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6.5. Запрещается выполнять работу: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 расположения токонесущих сетей без их обесточивания;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работы мостовых и башенных кранов;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лесах и подмостях без их ограждения прочными поручнями на высоту не менее 1 м;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подвальных помещениях, не имеющих вентиляции;</w:t>
      </w:r>
    </w:p>
    <w:p w:rsidR="00FA64BB" w:rsidRPr="0025688F" w:rsidRDefault="00FA64BB" w:rsidP="00FA64BB">
      <w:pPr>
        <w:keepNext/>
        <w:numPr>
          <w:ilvl w:val="1"/>
          <w:numId w:val="1"/>
        </w:numPr>
        <w:tabs>
          <w:tab w:val="left" w:pos="798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возле аварийных конструкций без устройства под ними защитных козырьков, сеток и т.п.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6.6. Верхолазные работы и работы на высоте выполняются в соответствии с требованиями безопасности, указанными в ПОТ РМ-012-2000.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Особые (специальные) требования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 При оказании Услуг по обследованию технического состояния здания (сооружения) Исполнитель обязан незамедлительно извещать о каждом случае возникновения аварийных ситуаций в здании, сооружении Заказчика.</w:t>
      </w:r>
    </w:p>
    <w:p w:rsidR="00FA64BB" w:rsidRPr="0025688F" w:rsidRDefault="00FA64BB" w:rsidP="00FA64BB">
      <w:pPr>
        <w:keepNext/>
        <w:suppressAutoHyphens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 Порядок допуска специалистов Исполнителя для производства работ по техническому обследованию на объект МТ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 начала работ по техническому обследованию специалисты Исполнителя обязаны представить на рассмотрение и согласование в филиал Заказчика, где запланировано проведение обследование: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8.1.1. Не позднее, чем за 15 рабочих дней до начала работ на объекте: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приказ Исполнителя о направлении персонала на объект для выполнения работ с приложением сведений об обучении, о проверке знаний требований охраны труда, о </w:t>
      </w: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прохождении пожарно-технического минимума, о проверке знаний норм и правил работы в электроустановках;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копии общегражданских паспортов работников;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копии разрешений на привлечение иностранных рабочих, копии миграционных карт и подтверждений на право трудовой деятельности на территории субъектов Российской Федерации;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перечень автотранспортной техники и оборудования, используемые при производстве работ;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приказ о назначении ответственных производителей работ, лиц, ответственных за соблюдение требований охраны труда, промышленной безопасности, пожарной безопасности и электробезопасности;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8.1.2. не позднее, чем за 7 рабочих дней до начала работ на объекте: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копию Договора с приложениями;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копию свидетельства о допуске подрядной организации к определенному виду или видам работ, которые оказывают влияние на безопасность объектов обследования.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обязан обеспечить строгое соблюдение работниками, привлекаемыми для выполнения работ на объектах Заказчика, требований Инструкции о пропускном и внутриобъектовом режимах, действующей на объекте, разработанной в соответствии с Руководством по организации охраны объектов магистральных нефтепроводов ПАО «Транснефть» (РД-03.310.00-КТН-026-09). </w:t>
      </w:r>
    </w:p>
    <w:p w:rsidR="00FA64BB" w:rsidRPr="0025688F" w:rsidRDefault="00FA64BB" w:rsidP="00FA64BB">
      <w:pPr>
        <w:keepNext/>
        <w:tabs>
          <w:tab w:val="num" w:pos="1440"/>
        </w:tabs>
        <w:suppressAutoHyphens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пропускного режима, порядка вноса (выноса) специализированного оборудования определяются в соответствии с установленными Заказчиком требованиями. 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688F">
        <w:rPr>
          <w:rFonts w:ascii="Times New Roman" w:eastAsia="Times New Roman" w:hAnsi="Times New Roman" w:cs="Times New Roman"/>
          <w:b/>
          <w:lang w:eastAsia="ru-RU"/>
        </w:rPr>
        <w:t>Приложение № 1 к Программе работ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688F">
        <w:rPr>
          <w:rFonts w:ascii="Times New Roman" w:eastAsia="Times New Roman" w:hAnsi="Times New Roman" w:cs="Times New Roman"/>
          <w:b/>
          <w:lang w:eastAsia="ru-RU"/>
        </w:rPr>
        <w:t xml:space="preserve">Информация о специалистах Исполнителя, </w:t>
      </w:r>
      <w:r w:rsidRPr="0025688F">
        <w:rPr>
          <w:rFonts w:ascii="Times New Roman" w:eastAsia="Times New Roman" w:hAnsi="Times New Roman" w:cs="Times New Roman"/>
          <w:b/>
          <w:lang w:eastAsia="ru-RU"/>
        </w:rPr>
        <w:br/>
        <w:t>проводящих обследование технического состояния З/С (обязательное)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2652"/>
        <w:gridCol w:w="2268"/>
        <w:gridCol w:w="4111"/>
      </w:tblGrid>
      <w:tr w:rsidR="00FA64BB" w:rsidRPr="0025688F" w:rsidTr="00A36F9C">
        <w:tc>
          <w:tcPr>
            <w:tcW w:w="575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52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Фамилия</w:t>
            </w:r>
          </w:p>
        </w:tc>
        <w:tc>
          <w:tcPr>
            <w:tcW w:w="2268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Должность, уровень квалификации</w:t>
            </w:r>
          </w:p>
        </w:tc>
        <w:tc>
          <w:tcPr>
            <w:tcW w:w="4111" w:type="dxa"/>
            <w:vAlign w:val="center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последней аттестации, дата аттестации, номера удостоверений, аттестационный центр</w:t>
            </w:r>
          </w:p>
        </w:tc>
      </w:tr>
      <w:tr w:rsidR="00FA64BB" w:rsidRPr="0025688F" w:rsidTr="00A36F9C">
        <w:tc>
          <w:tcPr>
            <w:tcW w:w="575" w:type="dxa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52" w:type="dxa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FA64BB" w:rsidRPr="0025688F" w:rsidRDefault="00FA64BB" w:rsidP="00FA64B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688F">
        <w:rPr>
          <w:rFonts w:ascii="Times New Roman" w:eastAsia="Times New Roman" w:hAnsi="Times New Roman" w:cs="Times New Roman"/>
          <w:b/>
          <w:lang w:eastAsia="ru-RU"/>
        </w:rPr>
        <w:t>Приложение № 2 к Программе работ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688F">
        <w:rPr>
          <w:rFonts w:ascii="Times New Roman" w:eastAsia="Times New Roman" w:hAnsi="Times New Roman" w:cs="Times New Roman"/>
          <w:b/>
          <w:lang w:eastAsia="ru-RU"/>
        </w:rPr>
        <w:t>Перечень оборудования и средств измерений (обязательное)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32"/>
        <w:gridCol w:w="3203"/>
        <w:gridCol w:w="2703"/>
        <w:gridCol w:w="2701"/>
      </w:tblGrid>
      <w:tr w:rsidR="00FA64BB" w:rsidRPr="0025688F" w:rsidTr="00A36F9C">
        <w:trPr>
          <w:cantSplit/>
          <w:tblHeader/>
        </w:trPr>
        <w:tc>
          <w:tcPr>
            <w:tcW w:w="392" w:type="pc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1715" w:type="pc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оборудования или средства измерения</w:t>
            </w:r>
          </w:p>
        </w:tc>
        <w:tc>
          <w:tcPr>
            <w:tcW w:w="1447" w:type="pc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446" w:type="pct"/>
            <w:vAlign w:val="center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 срок действия  документации о поверке оборудования</w:t>
            </w:r>
          </w:p>
        </w:tc>
      </w:tr>
      <w:tr w:rsidR="00FA64BB" w:rsidRPr="0025688F" w:rsidTr="00A36F9C">
        <w:trPr>
          <w:cantSplit/>
        </w:trPr>
        <w:tc>
          <w:tcPr>
            <w:tcW w:w="392" w:type="pct"/>
            <w:shd w:val="clear" w:color="auto" w:fill="FFFFFF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5" w:type="pct"/>
            <w:shd w:val="clear" w:color="auto" w:fill="auto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ind w:left="-103" w:right="-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pct"/>
            <w:shd w:val="clear" w:color="auto" w:fill="auto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pct"/>
            <w:shd w:val="clear" w:color="auto" w:fill="auto"/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64BB" w:rsidRPr="0025688F" w:rsidRDefault="00FA64BB" w:rsidP="00FA64B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60"/>
          <w:lang w:eastAsia="ru-RU"/>
        </w:rPr>
      </w:pPr>
    </w:p>
    <w:p w:rsidR="00FA64BB" w:rsidRPr="0025688F" w:rsidRDefault="00FA64BB" w:rsidP="00FA64BB">
      <w:pPr>
        <w:keepNext/>
        <w:tabs>
          <w:tab w:val="left" w:leader="dot" w:pos="979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3 к Программе работ</w:t>
      </w:r>
    </w:p>
    <w:p w:rsidR="00FA64BB" w:rsidRPr="0025688F" w:rsidRDefault="00FA64BB" w:rsidP="00FA64B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5688F">
        <w:rPr>
          <w:rFonts w:ascii="Times New Roman" w:eastAsia="Times New Roman" w:hAnsi="Times New Roman" w:cs="Times New Roman"/>
          <w:b/>
          <w:bCs/>
          <w:lang w:eastAsia="ru-RU"/>
        </w:rPr>
        <w:t>Перечень ЗиС, по которым запланировано проведение технического обследования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514"/>
        <w:gridCol w:w="1559"/>
        <w:gridCol w:w="1701"/>
        <w:gridCol w:w="1559"/>
        <w:gridCol w:w="1418"/>
        <w:gridCol w:w="1502"/>
      </w:tblGrid>
      <w:tr w:rsidR="00FA64BB" w:rsidRPr="0025688F" w:rsidTr="00A36F9C">
        <w:trPr>
          <w:jc w:val="center"/>
        </w:trPr>
        <w:tc>
          <w:tcPr>
            <w:tcW w:w="556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МТ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ЗиС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Географическое местоположение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Строительный объем, м</w:t>
            </w: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эксплуатации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обследования</w:t>
            </w:r>
          </w:p>
        </w:tc>
      </w:tr>
      <w:tr w:rsidR="00FA64BB" w:rsidRPr="0025688F" w:rsidTr="00A36F9C">
        <w:trPr>
          <w:jc w:val="center"/>
        </w:trPr>
        <w:tc>
          <w:tcPr>
            <w:tcW w:w="556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FA64BB" w:rsidRPr="0025688F" w:rsidTr="00A36F9C">
        <w:trPr>
          <w:jc w:val="center"/>
        </w:trPr>
        <w:tc>
          <w:tcPr>
            <w:tcW w:w="556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FA64BB" w:rsidRPr="0025688F" w:rsidRDefault="00FA64BB" w:rsidP="00FA64BB">
            <w:pPr>
              <w:keepNext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64BB" w:rsidRPr="0025688F" w:rsidRDefault="00FA64BB" w:rsidP="00FA64BB">
      <w:pPr>
        <w:keepNext/>
        <w:tabs>
          <w:tab w:val="left" w:leader="dot" w:pos="979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64BB" w:rsidRPr="0025688F" w:rsidRDefault="00FA64BB" w:rsidP="00FA64BB">
      <w:pPr>
        <w:keepNext/>
        <w:tabs>
          <w:tab w:val="left" w:leader="dot" w:pos="979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4 к Программе работ</w:t>
      </w:r>
    </w:p>
    <w:p w:rsidR="00FA64BB" w:rsidRPr="0025688F" w:rsidRDefault="00FA64BB" w:rsidP="00FA64BB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688F">
        <w:rPr>
          <w:rFonts w:ascii="Times New Roman" w:eastAsia="Times New Roman" w:hAnsi="Times New Roman" w:cs="Times New Roman"/>
          <w:b/>
          <w:lang w:eastAsia="ru-RU"/>
        </w:rPr>
        <w:t>Схемы с указанием мест расположения вскрытий конструкций и проходки шурфов</w:t>
      </w:r>
    </w:p>
    <w:p w:rsidR="00FA64BB" w:rsidRPr="0025688F" w:rsidRDefault="00FA64BB" w:rsidP="00FA64B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4BB" w:rsidRPr="0025688F" w:rsidRDefault="00FA64BB" w:rsidP="00FA64B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FA64BB" w:rsidRPr="0025688F" w:rsidRDefault="00FA64BB" w:rsidP="00FA64B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674D32" w:rsidRPr="0025688F" w:rsidRDefault="00674D32">
      <w:pPr>
        <w:rPr>
          <w:rFonts w:ascii="Times New Roman" w:hAnsi="Times New Roman" w:cs="Times New Roman"/>
        </w:rPr>
      </w:pPr>
    </w:p>
    <w:sectPr w:rsidR="00674D32" w:rsidRPr="0025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3B" w:rsidRDefault="006D0F3B">
      <w:pPr>
        <w:spacing w:after="0" w:line="240" w:lineRule="auto"/>
      </w:pPr>
      <w:r>
        <w:separator/>
      </w:r>
    </w:p>
  </w:endnote>
  <w:endnote w:type="continuationSeparator" w:id="0">
    <w:p w:rsidR="006D0F3B" w:rsidRDefault="006D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F2B" w:rsidRDefault="00FA64BB" w:rsidP="00221F2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136</w:t>
    </w:r>
    <w:r>
      <w:rPr>
        <w:rStyle w:val="a7"/>
      </w:rPr>
      <w:fldChar w:fldCharType="end"/>
    </w:r>
  </w:p>
  <w:p w:rsidR="00221F2B" w:rsidRDefault="006D0F3B" w:rsidP="00221F2B">
    <w:pPr>
      <w:pStyle w:val="a5"/>
      <w:ind w:right="360"/>
    </w:pPr>
  </w:p>
  <w:p w:rsidR="00221F2B" w:rsidRDefault="006D0F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F2B" w:rsidRPr="00673EC1" w:rsidRDefault="00FA64BB">
    <w:pPr>
      <w:pStyle w:val="a5"/>
      <w:jc w:val="right"/>
      <w:rPr>
        <w:sz w:val="24"/>
        <w:szCs w:val="24"/>
      </w:rPr>
    </w:pPr>
    <w:r w:rsidRPr="00673EC1">
      <w:rPr>
        <w:sz w:val="24"/>
        <w:szCs w:val="24"/>
      </w:rPr>
      <w:fldChar w:fldCharType="begin"/>
    </w:r>
    <w:r w:rsidRPr="00673EC1">
      <w:rPr>
        <w:sz w:val="24"/>
        <w:szCs w:val="24"/>
      </w:rPr>
      <w:instrText>PAGE   \* MERGEFORMAT</w:instrText>
    </w:r>
    <w:r w:rsidRPr="00673EC1">
      <w:rPr>
        <w:sz w:val="24"/>
        <w:szCs w:val="24"/>
      </w:rPr>
      <w:fldChar w:fldCharType="separate"/>
    </w:r>
    <w:r w:rsidR="0025688F">
      <w:rPr>
        <w:noProof/>
        <w:sz w:val="24"/>
        <w:szCs w:val="24"/>
      </w:rPr>
      <w:t>3</w:t>
    </w:r>
    <w:r w:rsidRPr="00673EC1">
      <w:rPr>
        <w:sz w:val="24"/>
        <w:szCs w:val="24"/>
      </w:rPr>
      <w:fldChar w:fldCharType="end"/>
    </w:r>
  </w:p>
  <w:p w:rsidR="00221F2B" w:rsidRDefault="006D0F3B" w:rsidP="00221F2B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F2B" w:rsidRDefault="006D0F3B" w:rsidP="00221F2B">
    <w:pPr>
      <w:pStyle w:val="a5"/>
      <w:jc w:val="right"/>
    </w:pPr>
  </w:p>
  <w:p w:rsidR="00221F2B" w:rsidRDefault="006D0F3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F2B" w:rsidRDefault="00FA64BB" w:rsidP="00221F2B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-265430</wp:posOffset>
              </wp:positionH>
              <wp:positionV relativeFrom="paragraph">
                <wp:posOffset>-160020</wp:posOffset>
              </wp:positionV>
              <wp:extent cx="373380" cy="246380"/>
              <wp:effectExtent l="1270" t="1905" r="0" b="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3380" cy="246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1F2B" w:rsidRPr="00031F52" w:rsidRDefault="00FA64BB" w:rsidP="00221F2B">
                          <w:pPr>
                            <w:pStyle w:val="a5"/>
                            <w:rPr>
                              <w:sz w:val="24"/>
                              <w:szCs w:val="24"/>
                            </w:rPr>
                          </w:pPr>
                          <w:r w:rsidRPr="00C76859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C76859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C76859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25688F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 w:rsidRPr="00C76859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0" type="#_x0000_t202" style="position:absolute;margin-left:-20.9pt;margin-top:-12.6pt;width:29.4pt;height:1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" stroked="f">
              <v:textbox style="layout-flow:vertical;mso-fit-shape-to-text:t">
                <w:txbxContent>
                  <w:p w:rsidR="00221F2B" w:rsidRPr="00031F52" w:rsidRDefault="00FA64BB" w:rsidP="00221F2B">
                    <w:pPr>
                      <w:pStyle w:val="a5"/>
                      <w:rPr>
                        <w:sz w:val="24"/>
                        <w:szCs w:val="24"/>
                      </w:rPr>
                    </w:pPr>
                    <w:r w:rsidRPr="00C76859">
                      <w:rPr>
                        <w:sz w:val="24"/>
                        <w:szCs w:val="24"/>
                      </w:rPr>
                      <w:fldChar w:fldCharType="begin"/>
                    </w:r>
                    <w:r w:rsidRPr="00C76859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C76859">
                      <w:rPr>
                        <w:sz w:val="24"/>
                        <w:szCs w:val="24"/>
                      </w:rPr>
                      <w:fldChar w:fldCharType="separate"/>
                    </w:r>
                    <w:r w:rsidR="0025688F">
                      <w:rPr>
                        <w:noProof/>
                        <w:sz w:val="24"/>
                        <w:szCs w:val="24"/>
                      </w:rPr>
                      <w:t>10</w:t>
                    </w:r>
                    <w:r w:rsidRPr="00C76859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3B" w:rsidRDefault="006D0F3B">
      <w:pPr>
        <w:spacing w:after="0" w:line="240" w:lineRule="auto"/>
      </w:pPr>
      <w:r>
        <w:separator/>
      </w:r>
    </w:p>
  </w:footnote>
  <w:footnote w:type="continuationSeparator" w:id="0">
    <w:p w:rsidR="006D0F3B" w:rsidRDefault="006D0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F2B" w:rsidRPr="00FB22B6" w:rsidRDefault="00FA64BB">
    <w:pPr>
      <w:pStyle w:val="a3"/>
      <w:rPr>
        <w:sz w:val="8"/>
        <w:szCs w:val="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13762355</wp:posOffset>
              </wp:positionH>
              <wp:positionV relativeFrom="paragraph">
                <wp:posOffset>1298575</wp:posOffset>
              </wp:positionV>
              <wp:extent cx="440055" cy="5755005"/>
              <wp:effectExtent l="8255" t="12700" r="8890" b="13970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0055" cy="5755005"/>
                        <a:chOff x="15714" y="1701"/>
                        <a:chExt cx="693" cy="9000"/>
                      </a:xfrm>
                    </wpg:grpSpPr>
                    <wps:wsp>
                      <wps:cNvPr id="3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15714" y="1701"/>
                          <a:ext cx="693" cy="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F2B" w:rsidRDefault="006D0F3B" w:rsidP="00221F2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21F2B" w:rsidRDefault="00FA64BB" w:rsidP="00221F2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ОАО «АК «Транснефть»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139"/>
                      <wps:cNvSpPr txBox="1">
                        <a:spLocks noChangeArrowheads="1"/>
                      </wps:cNvSpPr>
                      <wps:spPr bwMode="auto">
                        <a:xfrm>
                          <a:off x="15714" y="4041"/>
                          <a:ext cx="693" cy="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F2B" w:rsidRDefault="00FA64BB" w:rsidP="00221F2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Магистральный трубопроводный транспорт нефти и нефтепродуктов. </w:t>
                            </w:r>
                          </w:p>
                          <w:p w:rsidR="00221F2B" w:rsidRDefault="00FA64BB" w:rsidP="00221F2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7167B">
                              <w:rPr>
                                <w:sz w:val="18"/>
                                <w:szCs w:val="18"/>
                              </w:rPr>
                              <w:t>Правила технического обследования зданий и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сооружений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140"/>
                      <wps:cNvSpPr txBox="1">
                        <a:spLocks noChangeArrowheads="1"/>
                      </wps:cNvSpPr>
                      <wps:spPr bwMode="auto">
                        <a:xfrm>
                          <a:off x="15714" y="8721"/>
                          <a:ext cx="693" cy="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F2B" w:rsidRDefault="006D0F3B" w:rsidP="00221F2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" o:spid="_x0000_s1026" style="position:absolute;margin-left:1083.65pt;margin-top:102.25pt;width:34.65pt;height:453.15pt;z-index:251659264" coordorigin="15714,1701" coordsize="693,9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8" o:spid="_x0000_s1027" type="#_x0000_t202" style="position:absolute;left:15714;top:1701;width:693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AhWb4A&#10;AADaAAAADwAAAGRycy9kb3ducmV2LnhtbERPW2vCMBR+F/Yfwhn4ZlOdiHRGGQPH3sRW2OuhOb1s&#10;zUlJslr99UYQfPz47pvdaDoxkPOtZQXzJAVBXFrdcq3gVOxnaxA+IGvsLJOCC3nYbV8mG8y0PfOR&#10;hjzUIoawz1BBE0KfSenLhgz6xPbEkausMxgidLXUDs8x3HRykaYrabDl2NBgT58NlX/5v4kzvvLK&#10;/Ryq+e+wLqRPl1Rcr6TU9HX8eAcRaAxP8cP9rRW8wf1K9IPc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/AIVm+AAAA2gAAAA8AAAAAAAAAAAAAAAAAmAIAAGRycy9kb3ducmV2&#10;LnhtbFBLBQYAAAAABAAEAPUAAACDAwAAAAA=&#10;">
                <v:textbox style="layout-flow:vertical" inset="0,0,0,0">
                  <w:txbxContent>
                    <w:p w:rsidR="00221F2B" w:rsidRDefault="00FA64BB" w:rsidP="00221F2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21F2B" w:rsidRDefault="00FA64BB" w:rsidP="00221F2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ОАО «АК «Транснефть»</w:t>
                      </w:r>
                    </w:p>
                  </w:txbxContent>
                </v:textbox>
              </v:shape>
              <v:shape id="Text Box 139" o:spid="_x0000_s1028" type="#_x0000_t202" style="position:absolute;left:15714;top:4041;width:693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m5Lb4A&#10;AADaAAAADwAAAGRycy9kb3ducmV2LnhtbERPW0vDMBR+F/wP4Qi+2XSjyOiajSEoexPbwV4Pzell&#10;a05KErvaX28EYY8f373Yz2YQEznfW1awSlIQxLXVPbcKTtX7ywaED8gaB8uk4Ic87HePDwXm2t74&#10;i6YytCKGsM9RQRfCmEvp644M+sSOxJFrrDMYInSt1A5vMdwMcp2mr9Jgz7Ghw5HeOqqv5beJMz7K&#10;xp0/m9Vl2lTSpxlVy0JKPT/Nhy2IQHO4i//dR60gg78r0Q9y9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ApuS2+AAAA2gAAAA8AAAAAAAAAAAAAAAAAmAIAAGRycy9kb3ducmV2&#10;LnhtbFBLBQYAAAAABAAEAPUAAACDAwAAAAA=&#10;">
                <v:textbox style="layout-flow:vertical" inset="0,0,0,0">
                  <w:txbxContent>
                    <w:p w:rsidR="00221F2B" w:rsidRDefault="00FA64BB" w:rsidP="00221F2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Магистральный трубопроводный транспорт нефти и нефтепродуктов. </w:t>
                      </w:r>
                    </w:p>
                    <w:p w:rsidR="00221F2B" w:rsidRDefault="00FA64BB" w:rsidP="00221F2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7167B">
                        <w:rPr>
                          <w:sz w:val="18"/>
                          <w:szCs w:val="18"/>
                        </w:rPr>
                        <w:t>Правила технического обследования зданий и</w:t>
                      </w:r>
                      <w:r>
                        <w:rPr>
                          <w:sz w:val="18"/>
                          <w:szCs w:val="18"/>
                        </w:rPr>
                        <w:t xml:space="preserve"> сооружений</w:t>
                      </w:r>
                    </w:p>
                  </w:txbxContent>
                </v:textbox>
              </v:shape>
              <v:shape id="Text Box 140" o:spid="_x0000_s1029" type="#_x0000_t202" style="position:absolute;left:15714;top:8721;width:693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Uctr4A&#10;AADaAAAADwAAAGRycy9kb3ducmV2LnhtbERPW2vCMBR+F/Yfwhn4ZlNlinRGGQPH3sRW2OuhOb1s&#10;zUlJslr99UYQfPz47pvdaDoxkPOtZQXzJAVBXFrdcq3gVOxnaxA+IGvsLJOCC3nYbV8mG8y0PfOR&#10;hjzUIoawz1BBE0KfSenLhgz6xPbEkausMxgidLXUDs8x3HRykaYrabDl2NBgT58NlX/5v4kzvvLK&#10;/Ryq+e+wLqRP36i4Xkmp6ev48Q4i0Bie4of7WytYwv1K9IPc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9lHLa+AAAA2gAAAA8AAAAAAAAAAAAAAAAAmAIAAGRycy9kb3ducmV2&#10;LnhtbFBLBQYAAAAABAAEAPUAAACDAwAAAAA=&#10;">
                <v:textbox style="layout-flow:vertical" inset="0,0,0,0">
                  <w:txbxContent>
                    <w:p w:rsidR="00221F2B" w:rsidRDefault="00FA64BB" w:rsidP="00221F2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F237D"/>
    <w:multiLevelType w:val="hybridMultilevel"/>
    <w:tmpl w:val="3B6ABF8C"/>
    <w:lvl w:ilvl="0" w:tplc="C3F65D46">
      <w:start w:val="1"/>
      <w:numFmt w:val="bullet"/>
      <w:pStyle w:val="aacao"/>
      <w:lvlText w:val="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9FFE77C2">
      <w:start w:val="1"/>
      <w:numFmt w:val="bullet"/>
      <w:pStyle w:val="4"/>
      <w:lvlText w:val="-"/>
      <w:lvlJc w:val="left"/>
      <w:pPr>
        <w:tabs>
          <w:tab w:val="num" w:pos="1044"/>
        </w:tabs>
        <w:ind w:left="1044" w:hanging="360"/>
      </w:pPr>
      <w:rPr>
        <w:rFonts w:ascii="Tunga" w:hAnsi="Tunga" w:hint="default"/>
      </w:rPr>
    </w:lvl>
    <w:lvl w:ilvl="2" w:tplc="D6F6200C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B9408212">
      <w:start w:val="1"/>
      <w:numFmt w:val="decimal"/>
      <w:lvlText w:val="9.8.%4."/>
      <w:lvlJc w:val="left"/>
      <w:pPr>
        <w:tabs>
          <w:tab w:val="num" w:pos="3583"/>
        </w:tabs>
        <w:ind w:left="3583" w:hanging="360"/>
      </w:pPr>
      <w:rPr>
        <w:rFonts w:hint="default"/>
      </w:rPr>
    </w:lvl>
    <w:lvl w:ilvl="4" w:tplc="49DE6240">
      <w:start w:val="1"/>
      <w:numFmt w:val="decimal"/>
      <w:lvlText w:val="%5"/>
      <w:lvlJc w:val="left"/>
      <w:pPr>
        <w:tabs>
          <w:tab w:val="num" w:pos="4303"/>
        </w:tabs>
        <w:ind w:left="4303" w:hanging="360"/>
      </w:pPr>
      <w:rPr>
        <w:rFonts w:hint="default"/>
      </w:rPr>
    </w:lvl>
    <w:lvl w:ilvl="5" w:tplc="87EABDFE">
      <w:start w:val="8"/>
      <w:numFmt w:val="decimal"/>
      <w:lvlText w:val="%6."/>
      <w:lvlJc w:val="left"/>
      <w:pPr>
        <w:ind w:left="5203" w:hanging="360"/>
      </w:pPr>
      <w:rPr>
        <w:rFonts w:hint="default"/>
      </w:rPr>
    </w:lvl>
    <w:lvl w:ilvl="6" w:tplc="4E4E7C56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8D64A38C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B81C9576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1" w15:restartNumberingAfterBreak="0">
    <w:nsid w:val="6AF162E7"/>
    <w:multiLevelType w:val="hybridMultilevel"/>
    <w:tmpl w:val="CD1C6AD4"/>
    <w:lvl w:ilvl="0" w:tplc="B56A5492">
      <w:start w:val="5"/>
      <w:numFmt w:val="bullet"/>
      <w:lvlText w:val="-"/>
      <w:lvlJc w:val="left"/>
      <w:pPr>
        <w:tabs>
          <w:tab w:val="num" w:pos="1478"/>
        </w:tabs>
        <w:ind w:left="1478" w:hanging="737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FD1A91FE">
      <w:start w:val="4"/>
      <w:numFmt w:val="decimal"/>
      <w:lvlText w:val="%2"/>
      <w:lvlJc w:val="left"/>
      <w:pPr>
        <w:tabs>
          <w:tab w:val="num" w:pos="920"/>
        </w:tabs>
        <w:ind w:left="920" w:hanging="360"/>
      </w:pPr>
      <w:rPr>
        <w:rFonts w:hint="default"/>
        <w:b/>
        <w:i w:val="0"/>
      </w:rPr>
    </w:lvl>
    <w:lvl w:ilvl="2" w:tplc="4D901512">
      <w:start w:val="5"/>
      <w:numFmt w:val="bullet"/>
      <w:lvlText w:val="-"/>
      <w:lvlJc w:val="left"/>
      <w:pPr>
        <w:tabs>
          <w:tab w:val="num" w:pos="1820"/>
        </w:tabs>
        <w:ind w:left="1820" w:hanging="360"/>
      </w:pPr>
      <w:rPr>
        <w:rFonts w:ascii="Times New Roman" w:eastAsia="Times New Roman" w:hAnsi="Times New Roman" w:cs="Times New Roman" w:hint="default"/>
      </w:rPr>
    </w:lvl>
    <w:lvl w:ilvl="3" w:tplc="A740C2A8">
      <w:start w:val="1"/>
      <w:numFmt w:val="decimal"/>
      <w:lvlText w:val="%4)"/>
      <w:lvlJc w:val="left"/>
      <w:pPr>
        <w:tabs>
          <w:tab w:val="num" w:pos="2360"/>
        </w:tabs>
        <w:ind w:left="2360" w:hanging="360"/>
      </w:pPr>
      <w:rPr>
        <w:rFonts w:hint="default"/>
      </w:rPr>
    </w:lvl>
    <w:lvl w:ilvl="4" w:tplc="5D2CCA2E">
      <w:start w:val="1"/>
      <w:numFmt w:val="decimal"/>
      <w:lvlText w:val="%5)"/>
      <w:lvlJc w:val="left"/>
      <w:pPr>
        <w:tabs>
          <w:tab w:val="num" w:pos="3080"/>
        </w:tabs>
        <w:ind w:left="3080" w:hanging="360"/>
      </w:pPr>
      <w:rPr>
        <w:rFonts w:ascii="Times New Roman" w:hAnsi="Times New Roman" w:hint="default"/>
        <w:b w:val="0"/>
        <w:i w:val="0"/>
        <w:sz w:val="24"/>
      </w:rPr>
    </w:lvl>
    <w:lvl w:ilvl="5" w:tplc="D3340A94" w:tentative="1">
      <w:start w:val="1"/>
      <w:numFmt w:val="lowerRoman"/>
      <w:lvlText w:val="%6."/>
      <w:lvlJc w:val="right"/>
      <w:pPr>
        <w:tabs>
          <w:tab w:val="num" w:pos="3800"/>
        </w:tabs>
        <w:ind w:left="3800" w:hanging="180"/>
      </w:pPr>
    </w:lvl>
    <w:lvl w:ilvl="6" w:tplc="0CB0185C" w:tentative="1">
      <w:start w:val="1"/>
      <w:numFmt w:val="decimal"/>
      <w:lvlText w:val="%7."/>
      <w:lvlJc w:val="left"/>
      <w:pPr>
        <w:tabs>
          <w:tab w:val="num" w:pos="4520"/>
        </w:tabs>
        <w:ind w:left="4520" w:hanging="360"/>
      </w:pPr>
    </w:lvl>
    <w:lvl w:ilvl="7" w:tplc="DA92916E" w:tentative="1">
      <w:start w:val="1"/>
      <w:numFmt w:val="lowerLetter"/>
      <w:lvlText w:val="%8."/>
      <w:lvlJc w:val="left"/>
      <w:pPr>
        <w:tabs>
          <w:tab w:val="num" w:pos="5240"/>
        </w:tabs>
        <w:ind w:left="5240" w:hanging="360"/>
      </w:pPr>
    </w:lvl>
    <w:lvl w:ilvl="8" w:tplc="CC1E3C64" w:tentative="1">
      <w:start w:val="1"/>
      <w:numFmt w:val="lowerRoman"/>
      <w:lvlText w:val="%9."/>
      <w:lvlJc w:val="right"/>
      <w:pPr>
        <w:tabs>
          <w:tab w:val="num" w:pos="5960"/>
        </w:tabs>
        <w:ind w:left="5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BB"/>
    <w:rsid w:val="0025688F"/>
    <w:rsid w:val="003A61D1"/>
    <w:rsid w:val="00674D32"/>
    <w:rsid w:val="006D0F3B"/>
    <w:rsid w:val="00FA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6BF512-B051-412A-A026-B073D81F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,Верхний колонтитул Знак Знак,Верхний колонтитул Знак Знак Знак Знак,Верхний колонтитул Знак Знак Знак Знак Знак Знак,Верхний колонтитул Знак1,Верхний колонтитул Знак1 Знак Знак,Верхний колонтитул Знак1 Знак Знак Знак Знак"/>
    <w:basedOn w:val="a"/>
    <w:link w:val="a4"/>
    <w:uiPriority w:val="99"/>
    <w:unhideWhenUsed/>
    <w:rsid w:val="00FA64B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aliases w:val="ВерхКолонтит Знак,Верхний колонтитул Знак Знак Знак,Верхний колонтитул Знак Знак Знак Знак Знак,Верхний колонтитул Знак Знак Знак Знак Знак Знак Знак,Верхний колонтитул Знак1 Знак,Верхний колонтитул Знак1 Знак Знак Знак"/>
    <w:basedOn w:val="a0"/>
    <w:link w:val="a3"/>
    <w:uiPriority w:val="99"/>
    <w:rsid w:val="00FA64BB"/>
    <w:rPr>
      <w:rFonts w:eastAsia="Times New Roman"/>
      <w:lang w:eastAsia="ru-RU"/>
    </w:rPr>
  </w:style>
  <w:style w:type="paragraph" w:styleId="a5">
    <w:name w:val="footer"/>
    <w:aliases w:val=" Знак1"/>
    <w:basedOn w:val="a"/>
    <w:link w:val="a6"/>
    <w:uiPriority w:val="99"/>
    <w:unhideWhenUsed/>
    <w:rsid w:val="00FA64B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Нижний колонтитул Знак"/>
    <w:aliases w:val=" Знак1 Знак"/>
    <w:basedOn w:val="a0"/>
    <w:link w:val="a5"/>
    <w:uiPriority w:val="99"/>
    <w:rsid w:val="00FA64BB"/>
    <w:rPr>
      <w:rFonts w:eastAsia="Times New Roman"/>
      <w:lang w:eastAsia="ru-RU"/>
    </w:rPr>
  </w:style>
  <w:style w:type="character" w:styleId="a7">
    <w:name w:val="page number"/>
    <w:basedOn w:val="a0"/>
    <w:rsid w:val="00FA64BB"/>
  </w:style>
  <w:style w:type="paragraph" w:customStyle="1" w:styleId="aacao">
    <w:name w:val="aacao"/>
    <w:basedOn w:val="a"/>
    <w:rsid w:val="00FA64BB"/>
    <w:pPr>
      <w:numPr>
        <w:numId w:val="1"/>
      </w:numPr>
      <w:spacing w:after="0" w:line="24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СКБ_4"/>
    <w:basedOn w:val="a"/>
    <w:rsid w:val="00FA64BB"/>
    <w:pPr>
      <w:numPr>
        <w:ilvl w:val="1"/>
        <w:numId w:val="1"/>
      </w:numPr>
      <w:tabs>
        <w:tab w:val="left" w:pos="-240"/>
        <w:tab w:val="left" w:pos="9840"/>
      </w:tabs>
      <w:spacing w:after="0" w:line="360" w:lineRule="auto"/>
      <w:ind w:left="840" w:firstLine="0"/>
      <w:jc w:val="both"/>
      <w:outlineLvl w:val="3"/>
    </w:pPr>
    <w:rPr>
      <w:rFonts w:ascii="Times New Roman" w:eastAsia="Times New Roman" w:hAnsi="Times New Roman" w:cs="Times New Roman"/>
      <w:color w:val="FF0000"/>
      <w:kern w:val="28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6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6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2898</Words>
  <Characters>16520</Characters>
  <Application>Microsoft Office Word</Application>
  <DocSecurity>0</DocSecurity>
  <Lines>137</Lines>
  <Paragraphs>38</Paragraphs>
  <ScaleCrop>false</ScaleCrop>
  <Company>ПАО "ГМК "Норильский никель"</Company>
  <LinksUpToDate>false</LinksUpToDate>
  <CharactersWithSpaces>19380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Подоксенов Михаил Владимирович</dc:creator>
  <cp:keywords/>
  <dc:description/>
  <cp:lastModifiedBy>Подоксенов Михаил Владимирович</cp:lastModifiedBy>
  <cp:revision>3</cp:revision>
  <cp:lastPrinted>2021-06-01T15:53:00Z</cp:lastPrinted>
  <dcterms:created xsi:type="dcterms:W3CDTF">2020-05-14T09:39:00Z</dcterms:created>
  <dcterms:modified xsi:type="dcterms:W3CDTF">2021-06-01T15:54:00Z</dcterms:modified>
</cp:coreProperties>
</file>